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hd w:fill="ffffff" w:val="clear"/>
        <w:spacing w:after="80" w:before="0" w:line="288" w:lineRule="auto"/>
        <w:rPr>
          <w:rFonts w:ascii="Roboto" w:cs="Roboto" w:eastAsia="Roboto" w:hAnsi="Roboto"/>
          <w:color w:val="373a3c"/>
          <w:sz w:val="34"/>
          <w:szCs w:val="34"/>
        </w:rPr>
      </w:pPr>
      <w:bookmarkStart w:colFirst="0" w:colLast="0" w:name="_exel1f996um" w:id="0"/>
      <w:bookmarkEnd w:id="0"/>
      <w:r w:rsidDel="00000000" w:rsidR="00000000" w:rsidRPr="00000000">
        <w:rPr>
          <w:rFonts w:ascii="Roboto" w:cs="Roboto" w:eastAsia="Roboto" w:hAnsi="Roboto"/>
          <w:color w:val="373a3c"/>
          <w:sz w:val="34"/>
          <w:szCs w:val="34"/>
          <w:rtl w:val="0"/>
        </w:rPr>
        <w:t xml:space="preserve">Assignment 2: Rubric_Community Organizing Power Analysis</w:t>
      </w:r>
    </w:p>
    <w:p w:rsidR="00000000" w:rsidDel="00000000" w:rsidP="00000000" w:rsidRDefault="00000000" w:rsidRPr="00000000" w14:paraId="00000002">
      <w:pPr>
        <w:shd w:fill="ffffff" w:val="clear"/>
        <w:spacing w:after="240" w:lineRule="auto"/>
        <w:rPr>
          <w:rFonts w:ascii="Roboto" w:cs="Roboto" w:eastAsia="Roboto" w:hAnsi="Roboto"/>
          <w:color w:val="373a3c"/>
          <w:sz w:val="23"/>
          <w:szCs w:val="23"/>
        </w:rPr>
      </w:pPr>
      <w:r w:rsidDel="00000000" w:rsidR="00000000" w:rsidRPr="00000000">
        <w:rPr>
          <w:rFonts w:ascii="Roboto" w:cs="Roboto" w:eastAsia="Roboto" w:hAnsi="Roboto"/>
          <w:color w:val="373a3c"/>
          <w:sz w:val="34"/>
          <w:szCs w:val="34"/>
        </w:rPr>
        <w:drawing>
          <wp:inline distB="114300" distT="114300" distL="114300" distR="114300">
            <wp:extent cx="5943600" cy="48133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13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